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873" w:rsidRDefault="00980873" w:rsidP="00460E7A">
      <w:pPr>
        <w:spacing w:after="0"/>
        <w:jc w:val="center"/>
      </w:pPr>
      <w:bookmarkStart w:id="0" w:name="_GoBack"/>
    </w:p>
    <w:p w:rsidR="00980873" w:rsidRDefault="00980873" w:rsidP="00460E7A">
      <w:pPr>
        <w:spacing w:after="0"/>
        <w:jc w:val="center"/>
      </w:pPr>
    </w:p>
    <w:p w:rsidR="00980873" w:rsidRDefault="00980873" w:rsidP="00460E7A">
      <w:pPr>
        <w:spacing w:after="0"/>
        <w:jc w:val="center"/>
      </w:pPr>
    </w:p>
    <w:p w:rsidR="00980873" w:rsidRDefault="00980873" w:rsidP="00460E7A">
      <w:pPr>
        <w:spacing w:after="0"/>
        <w:jc w:val="center"/>
      </w:pPr>
    </w:p>
    <w:p w:rsidR="00980873" w:rsidRDefault="00980873" w:rsidP="00460E7A">
      <w:pPr>
        <w:spacing w:after="0"/>
        <w:jc w:val="center"/>
      </w:pPr>
    </w:p>
    <w:p w:rsidR="00980873" w:rsidRDefault="00980873" w:rsidP="00460E7A">
      <w:pPr>
        <w:spacing w:after="0"/>
        <w:jc w:val="center"/>
      </w:pPr>
    </w:p>
    <w:p w:rsidR="00FD0562" w:rsidRDefault="00980873" w:rsidP="00460E7A">
      <w:pPr>
        <w:spacing w:after="0"/>
        <w:jc w:val="center"/>
      </w:pPr>
      <w:r>
        <w:t>Female or Male Breadwinner Families</w:t>
      </w:r>
    </w:p>
    <w:p w:rsidR="00980873" w:rsidRDefault="00980873" w:rsidP="00460E7A">
      <w:pPr>
        <w:spacing w:after="0"/>
        <w:jc w:val="center"/>
      </w:pPr>
      <w:r>
        <w:t>Student’s Name</w:t>
      </w:r>
    </w:p>
    <w:p w:rsidR="00980873" w:rsidRDefault="00980873" w:rsidP="00460E7A">
      <w:pPr>
        <w:spacing w:after="0"/>
        <w:jc w:val="center"/>
      </w:pPr>
      <w:r>
        <w:t>Institution</w:t>
      </w:r>
      <w:r w:rsidR="006E2800">
        <w:t xml:space="preserve">al Affiliation </w:t>
      </w:r>
    </w:p>
    <w:p w:rsidR="00980873" w:rsidRDefault="00980873" w:rsidP="00460E7A">
      <w:pPr>
        <w:spacing w:after="0" w:line="276" w:lineRule="auto"/>
      </w:pPr>
      <w:r>
        <w:br w:type="page"/>
      </w:r>
    </w:p>
    <w:p w:rsidR="00980873" w:rsidRDefault="00980873" w:rsidP="00460E7A">
      <w:pPr>
        <w:spacing w:after="0"/>
        <w:jc w:val="center"/>
      </w:pPr>
      <w:r>
        <w:lastRenderedPageBreak/>
        <w:t xml:space="preserve">Female </w:t>
      </w:r>
      <w:r w:rsidR="00783D14">
        <w:t>or Male Breadwinner Families</w:t>
      </w:r>
    </w:p>
    <w:p w:rsidR="00980873" w:rsidRDefault="00980873" w:rsidP="00460E7A">
      <w:pPr>
        <w:spacing w:after="0"/>
        <w:ind w:firstLine="720"/>
      </w:pPr>
      <w:r>
        <w:t xml:space="preserve">In the past, there was a historical norm that men were the only ones engrossed with the responsibility of providing the basic needs to their families. Women were not regarded to be the breadwinners because men were considered to be getting more income than them. However, this norm has changed over the years. Contemporarily, there have been increased instances of breadwinning mothers in America. For instance, there have been high numbers of women who are sole breadwinners as depicted in </w:t>
      </w:r>
      <w:r w:rsidRPr="009363EB">
        <w:rPr>
          <w:i/>
        </w:rPr>
        <w:t xml:space="preserve">The Shiver Report: A Woman’s Nation Changes Everything </w:t>
      </w:r>
      <w:r>
        <w:t>reported that in 2015 women breadwinners were 42%</w:t>
      </w:r>
      <w:r w:rsidRPr="00EF307E">
        <w:rPr>
          <w:rFonts w:eastAsia="Times New Roman" w:cs="Times New Roman"/>
          <w:szCs w:val="24"/>
        </w:rPr>
        <w:t xml:space="preserve"> </w:t>
      </w:r>
      <w:r>
        <w:rPr>
          <w:rFonts w:eastAsia="Times New Roman" w:cs="Times New Roman"/>
          <w:szCs w:val="24"/>
        </w:rPr>
        <w:t>(Cunningham, 2008)</w:t>
      </w:r>
      <w:r>
        <w:t>. This shows that women have had increased earnings hence their economic contributions have grown in their families.</w:t>
      </w:r>
    </w:p>
    <w:p w:rsidR="00980873" w:rsidRDefault="00980873" w:rsidP="00460E7A">
      <w:pPr>
        <w:spacing w:after="0"/>
      </w:pPr>
      <w:r>
        <w:t>Media framing of the issue</w:t>
      </w:r>
    </w:p>
    <w:p w:rsidR="00980873" w:rsidRDefault="00980873" w:rsidP="00460E7A">
      <w:pPr>
        <w:spacing w:after="0"/>
        <w:jc w:val="center"/>
      </w:pPr>
      <w:r>
        <w:t>Differences and similarities of the issue</w:t>
      </w:r>
    </w:p>
    <w:p w:rsidR="00980873" w:rsidRDefault="00980873" w:rsidP="00460E7A">
      <w:pPr>
        <w:spacing w:after="0"/>
        <w:ind w:firstLine="720"/>
      </w:pPr>
      <w:r>
        <w:t xml:space="preserve">The media hold that men are still the ones who are placed with the larger emphasis on providing for the families as they are regarded to be financial providers of their families. 72% of men and 71% of women opine that a man is required to be capable of providing for his family to be a good spouse.  Women are deemed to be vital economic actors to their families. Many women have ventured in working for pay careers and they have been instrumental in providing basic needs to their families. Conversely, the media reckons that both spouses – man and woman – have to contribute to the economy of the family. Currently, women are empowered through education hence they can acquire employment opportunities which are creating income to be used within the family too.  Breadwinning mothers have considerable differences on the basis of their backgrounds and the localities where they live. Due to the changing family dynamics </w:t>
      </w:r>
      <w:r>
        <w:lastRenderedPageBreak/>
        <w:t xml:space="preserve">presently, most mothers have become ingrained in labor force participation. For example, women of color are more likely to work outside the home than white women. </w:t>
      </w:r>
    </w:p>
    <w:p w:rsidR="00980873" w:rsidRDefault="00980873" w:rsidP="00460E7A">
      <w:pPr>
        <w:spacing w:after="0"/>
        <w:jc w:val="center"/>
      </w:pPr>
      <w:r>
        <w:t>Implications of the differences regarding cultural values</w:t>
      </w:r>
    </w:p>
    <w:p w:rsidR="00980873" w:rsidRDefault="00980873" w:rsidP="00460E7A">
      <w:pPr>
        <w:spacing w:after="0"/>
        <w:ind w:firstLine="720"/>
      </w:pPr>
      <w:r>
        <w:t>Media delineates that men regard themselves to be the ones assigned with the role of providing for their families. This is as conceptualized in the past whereby in a marriage, the man was the one to labor and ensure economic provision to his family. The culture is changing as more women in the U.S are contributing to the incomes of their families. When women are engaged in labor force participation, their earnings are likely to be increased. Hence, the economic contribution to the family will be improved. Nowadays, most women in America are educated which ensures that they have competent skills in venturing into labor force participation.</w:t>
      </w:r>
    </w:p>
    <w:p w:rsidR="00980873" w:rsidRDefault="00980873" w:rsidP="00460E7A">
      <w:pPr>
        <w:spacing w:after="0"/>
        <w:jc w:val="center"/>
      </w:pPr>
      <w:r>
        <w:t>Implications of the differences regarding economic realities</w:t>
      </w:r>
    </w:p>
    <w:p w:rsidR="00980873" w:rsidRDefault="00980873" w:rsidP="00460E7A">
      <w:pPr>
        <w:spacing w:after="0"/>
        <w:ind w:firstLine="720"/>
      </w:pPr>
      <w:r>
        <w:t>There has been a shift in the couples’ income dynamics over the years. Only, 13% of women in marriage were able to earn more than or the same as their husbands’ incomes in 1980. Surprisingly, the share increased to 25% by 2000 indicating more women got into income generating activities. Their incomes are being used to the provision of the basic needs of the family. The earnings of women have steadily increased over the years as compared to those of their husbands</w:t>
      </w:r>
      <w:r w:rsidRPr="00EF307E">
        <w:rPr>
          <w:rFonts w:eastAsia="Times New Roman" w:cs="Times New Roman"/>
          <w:szCs w:val="24"/>
        </w:rPr>
        <w:t xml:space="preserve"> </w:t>
      </w:r>
      <w:r>
        <w:rPr>
          <w:rFonts w:eastAsia="Times New Roman" w:cs="Times New Roman"/>
          <w:szCs w:val="24"/>
        </w:rPr>
        <w:t>(Drago, Black &amp; Wooden, 2005)</w:t>
      </w:r>
      <w:r>
        <w:t>. Evidently, women have been important in the labor force participation of firms, therefore, they attain income which they use for the economic welfare of their families. In the current generation, it is likely for women to provide vital financial support to their families comparative to those of the earlier generation.</w:t>
      </w:r>
    </w:p>
    <w:p w:rsidR="00980873" w:rsidRDefault="00980873" w:rsidP="00460E7A">
      <w:pPr>
        <w:spacing w:after="0"/>
        <w:jc w:val="center"/>
      </w:pPr>
      <w:r>
        <w:t>Implications of the differences to the social structure</w:t>
      </w:r>
    </w:p>
    <w:p w:rsidR="00980873" w:rsidRDefault="00980873" w:rsidP="00460E7A">
      <w:pPr>
        <w:spacing w:after="0"/>
        <w:ind w:firstLine="720"/>
      </w:pPr>
      <w:r>
        <w:lastRenderedPageBreak/>
        <w:t>By the virtue being empowered and able to provide for the economic wellbeing of their families, gender equality is championed. Long were the days when women were regarded as housewives and the man was the only provider for the family. Gender equality puts emphasis on the empowerment of women by giving them opportunities like education, education as well as earnings</w:t>
      </w:r>
      <w:r w:rsidRPr="00EF307E">
        <w:rPr>
          <w:rFonts w:eastAsia="Times New Roman" w:cs="Times New Roman"/>
          <w:szCs w:val="24"/>
        </w:rPr>
        <w:t xml:space="preserve"> </w:t>
      </w:r>
      <w:r>
        <w:rPr>
          <w:rFonts w:eastAsia="Times New Roman" w:cs="Times New Roman"/>
          <w:szCs w:val="24"/>
        </w:rPr>
        <w:t>(Meisenbach, 2010)</w:t>
      </w:r>
      <w:r>
        <w:t xml:space="preserve">.  America has spearheaded the opportunities allocated to women which have been significant in the diminution of economic gender-based disparities. An example is whereby women employed can be able to earn and live without depending on their husbands for financial resources. Some men assume women who have a higher income than them to be unruly hence the probability of submitting to them being difficult. Therefore, they would rather have their women stay in the house but not get empowerment. Empowered women become socially mobile to address certain issues in governmental departments and evade abuse instances. </w:t>
      </w:r>
    </w:p>
    <w:p w:rsidR="00980873" w:rsidRDefault="00980873" w:rsidP="00460E7A">
      <w:pPr>
        <w:spacing w:after="0"/>
        <w:jc w:val="center"/>
      </w:pPr>
      <w:r>
        <w:t>Implications of the differences regarding the history</w:t>
      </w:r>
    </w:p>
    <w:p w:rsidR="00980873" w:rsidRDefault="00980873" w:rsidP="00460E7A">
      <w:pPr>
        <w:spacing w:after="0"/>
        <w:ind w:firstLine="720"/>
      </w:pPr>
      <w:r>
        <w:t>In the past, women were disregarded in the mainstream advances to the history of Americans. The multicultural American women became ignored in their quest to get job opportunities</w:t>
      </w:r>
      <w:r w:rsidRPr="00DA29CA">
        <w:rPr>
          <w:rFonts w:eastAsia="Times New Roman" w:cs="Times New Roman"/>
          <w:szCs w:val="24"/>
        </w:rPr>
        <w:t xml:space="preserve"> </w:t>
      </w:r>
      <w:r>
        <w:rPr>
          <w:rFonts w:eastAsia="Times New Roman" w:cs="Times New Roman"/>
          <w:szCs w:val="24"/>
        </w:rPr>
        <w:t>(Zuo &amp; Tang, 2000)</w:t>
      </w:r>
      <w:r>
        <w:t>. This limited their abilities to get income to provide economic support to their families. Contrarily, there has been the emergence of numerous agencies which emphasize women empowerment. National Women’s History Project has accomplished the recognition of women’s rights like earnings. The current women in America are able to access employment vacancies due to the adept skills they have received from education. Self-respect, as well as new prospects for women, have been registered which ensures that they have the ability to become revered in the society.</w:t>
      </w:r>
    </w:p>
    <w:p w:rsidR="002352E8" w:rsidRDefault="002352E8" w:rsidP="00460E7A">
      <w:pPr>
        <w:spacing w:after="0"/>
        <w:jc w:val="center"/>
      </w:pPr>
    </w:p>
    <w:p w:rsidR="00980873" w:rsidRDefault="00980873" w:rsidP="00460E7A">
      <w:pPr>
        <w:spacing w:after="0"/>
        <w:jc w:val="center"/>
      </w:pPr>
      <w:r>
        <w:t>References</w:t>
      </w:r>
    </w:p>
    <w:p w:rsidR="00980873" w:rsidRPr="000762C0" w:rsidRDefault="00980873" w:rsidP="00460E7A">
      <w:pPr>
        <w:spacing w:after="0"/>
        <w:ind w:left="720" w:hanging="720"/>
        <w:rPr>
          <w:rFonts w:eastAsia="Times New Roman" w:cs="Times New Roman"/>
          <w:szCs w:val="24"/>
        </w:rPr>
      </w:pPr>
      <w:r w:rsidRPr="000762C0">
        <w:rPr>
          <w:rFonts w:eastAsia="Times New Roman" w:cs="Times New Roman"/>
          <w:szCs w:val="24"/>
        </w:rPr>
        <w:t xml:space="preserve">Cunningham, M. (2008). Changing attitudes toward the male breadwinner, female homemaker family model: Influences of women's employment and education over the lifecourse. </w:t>
      </w:r>
      <w:r w:rsidRPr="000762C0">
        <w:rPr>
          <w:rFonts w:eastAsia="Times New Roman" w:cs="Times New Roman"/>
          <w:i/>
          <w:iCs/>
          <w:szCs w:val="24"/>
        </w:rPr>
        <w:t>Social forces</w:t>
      </w:r>
      <w:r w:rsidRPr="000762C0">
        <w:rPr>
          <w:rFonts w:eastAsia="Times New Roman" w:cs="Times New Roman"/>
          <w:szCs w:val="24"/>
        </w:rPr>
        <w:t xml:space="preserve">, </w:t>
      </w:r>
      <w:r w:rsidRPr="000762C0">
        <w:rPr>
          <w:rFonts w:eastAsia="Times New Roman" w:cs="Times New Roman"/>
          <w:i/>
          <w:iCs/>
          <w:szCs w:val="24"/>
        </w:rPr>
        <w:t>87</w:t>
      </w:r>
      <w:r w:rsidRPr="000762C0">
        <w:rPr>
          <w:rFonts w:eastAsia="Times New Roman" w:cs="Times New Roman"/>
          <w:szCs w:val="24"/>
        </w:rPr>
        <w:t>(1), 299-323.</w:t>
      </w:r>
    </w:p>
    <w:p w:rsidR="00980873" w:rsidRPr="000762C0" w:rsidRDefault="00980873" w:rsidP="00460E7A">
      <w:pPr>
        <w:spacing w:after="0"/>
        <w:ind w:left="720" w:hanging="720"/>
        <w:rPr>
          <w:rFonts w:eastAsia="Times New Roman" w:cs="Times New Roman"/>
          <w:szCs w:val="24"/>
        </w:rPr>
      </w:pPr>
      <w:r w:rsidRPr="000762C0">
        <w:rPr>
          <w:rFonts w:eastAsia="Times New Roman" w:cs="Times New Roman"/>
          <w:szCs w:val="24"/>
        </w:rPr>
        <w:t xml:space="preserve">Drago, R., Black, D., &amp; Wooden, M. (2005). Female breadwinner families: Their existence, persistence and sources. </w:t>
      </w:r>
      <w:r w:rsidRPr="000762C0">
        <w:rPr>
          <w:rFonts w:eastAsia="Times New Roman" w:cs="Times New Roman"/>
          <w:i/>
          <w:iCs/>
          <w:szCs w:val="24"/>
        </w:rPr>
        <w:t>Journal of Sociology</w:t>
      </w:r>
      <w:r w:rsidRPr="000762C0">
        <w:rPr>
          <w:rFonts w:eastAsia="Times New Roman" w:cs="Times New Roman"/>
          <w:szCs w:val="24"/>
        </w:rPr>
        <w:t xml:space="preserve">, </w:t>
      </w:r>
      <w:r w:rsidRPr="000762C0">
        <w:rPr>
          <w:rFonts w:eastAsia="Times New Roman" w:cs="Times New Roman"/>
          <w:i/>
          <w:iCs/>
          <w:szCs w:val="24"/>
        </w:rPr>
        <w:t>41</w:t>
      </w:r>
      <w:r w:rsidRPr="000762C0">
        <w:rPr>
          <w:rFonts w:eastAsia="Times New Roman" w:cs="Times New Roman"/>
          <w:szCs w:val="24"/>
        </w:rPr>
        <w:t>(4), 343-362.</w:t>
      </w:r>
    </w:p>
    <w:p w:rsidR="00980873" w:rsidRPr="000762C0" w:rsidRDefault="00980873" w:rsidP="00460E7A">
      <w:pPr>
        <w:spacing w:after="0"/>
        <w:ind w:left="720" w:hanging="720"/>
        <w:rPr>
          <w:rFonts w:eastAsia="Times New Roman" w:cs="Times New Roman"/>
          <w:szCs w:val="24"/>
        </w:rPr>
      </w:pPr>
      <w:r w:rsidRPr="000762C0">
        <w:rPr>
          <w:rFonts w:eastAsia="Times New Roman" w:cs="Times New Roman"/>
          <w:szCs w:val="24"/>
        </w:rPr>
        <w:t xml:space="preserve">Meisenbach, R. J. (2010). The female breadwinner: Phenomenological experience and gendered identity in work/family spaces. </w:t>
      </w:r>
      <w:r w:rsidRPr="000762C0">
        <w:rPr>
          <w:rFonts w:eastAsia="Times New Roman" w:cs="Times New Roman"/>
          <w:i/>
          <w:iCs/>
          <w:szCs w:val="24"/>
        </w:rPr>
        <w:t>Sex Roles</w:t>
      </w:r>
      <w:r w:rsidRPr="000762C0">
        <w:rPr>
          <w:rFonts w:eastAsia="Times New Roman" w:cs="Times New Roman"/>
          <w:szCs w:val="24"/>
        </w:rPr>
        <w:t xml:space="preserve">, </w:t>
      </w:r>
      <w:r w:rsidRPr="000762C0">
        <w:rPr>
          <w:rFonts w:eastAsia="Times New Roman" w:cs="Times New Roman"/>
          <w:i/>
          <w:iCs/>
          <w:szCs w:val="24"/>
        </w:rPr>
        <w:t>62</w:t>
      </w:r>
      <w:r w:rsidRPr="000762C0">
        <w:rPr>
          <w:rFonts w:eastAsia="Times New Roman" w:cs="Times New Roman"/>
          <w:szCs w:val="24"/>
        </w:rPr>
        <w:t>(1-2), 2-19.</w:t>
      </w:r>
    </w:p>
    <w:p w:rsidR="00980873" w:rsidRPr="000762C0" w:rsidRDefault="00980873" w:rsidP="00460E7A">
      <w:pPr>
        <w:spacing w:after="0"/>
        <w:ind w:left="720" w:hanging="720"/>
        <w:rPr>
          <w:rFonts w:eastAsia="Times New Roman" w:cs="Times New Roman"/>
          <w:szCs w:val="24"/>
        </w:rPr>
      </w:pPr>
      <w:r w:rsidRPr="000762C0">
        <w:rPr>
          <w:rFonts w:eastAsia="Times New Roman" w:cs="Times New Roman"/>
          <w:szCs w:val="24"/>
        </w:rPr>
        <w:t xml:space="preserve">Zuo, J., &amp; Tang, S. (2000). Breadwinner status and gender ideologies of men and women regarding family roles. </w:t>
      </w:r>
      <w:r w:rsidRPr="000762C0">
        <w:rPr>
          <w:rFonts w:eastAsia="Times New Roman" w:cs="Times New Roman"/>
          <w:i/>
          <w:iCs/>
          <w:szCs w:val="24"/>
        </w:rPr>
        <w:t>Sociological perspectives</w:t>
      </w:r>
      <w:r w:rsidRPr="000762C0">
        <w:rPr>
          <w:rFonts w:eastAsia="Times New Roman" w:cs="Times New Roman"/>
          <w:szCs w:val="24"/>
        </w:rPr>
        <w:t xml:space="preserve">, </w:t>
      </w:r>
      <w:r w:rsidRPr="000762C0">
        <w:rPr>
          <w:rFonts w:eastAsia="Times New Roman" w:cs="Times New Roman"/>
          <w:i/>
          <w:iCs/>
          <w:szCs w:val="24"/>
        </w:rPr>
        <w:t>43</w:t>
      </w:r>
      <w:r w:rsidRPr="000762C0">
        <w:rPr>
          <w:rFonts w:eastAsia="Times New Roman" w:cs="Times New Roman"/>
          <w:szCs w:val="24"/>
        </w:rPr>
        <w:t>(1), 29-43.</w:t>
      </w:r>
    </w:p>
    <w:p w:rsidR="00980873" w:rsidRDefault="00980873" w:rsidP="00460E7A">
      <w:pPr>
        <w:spacing w:after="0"/>
      </w:pPr>
    </w:p>
    <w:p w:rsidR="00980873" w:rsidRDefault="00980873" w:rsidP="00460E7A">
      <w:pPr>
        <w:spacing w:after="0"/>
      </w:pPr>
    </w:p>
    <w:p w:rsidR="00980873" w:rsidRDefault="00980873" w:rsidP="00460E7A">
      <w:pPr>
        <w:spacing w:after="0"/>
      </w:pPr>
      <w:r>
        <w:t xml:space="preserve">    </w:t>
      </w:r>
    </w:p>
    <w:p w:rsidR="00980873" w:rsidRDefault="00980873" w:rsidP="00460E7A">
      <w:pPr>
        <w:spacing w:after="0"/>
      </w:pPr>
    </w:p>
    <w:p w:rsidR="00980873" w:rsidRPr="000762C0" w:rsidRDefault="00980873" w:rsidP="00460E7A">
      <w:pPr>
        <w:spacing w:after="0"/>
      </w:pPr>
    </w:p>
    <w:p w:rsidR="00980873" w:rsidRDefault="00980873" w:rsidP="00460E7A">
      <w:pPr>
        <w:spacing w:after="0"/>
      </w:pPr>
    </w:p>
    <w:bookmarkEnd w:id="0"/>
    <w:p w:rsidR="00980873" w:rsidRPr="00980873" w:rsidRDefault="00980873" w:rsidP="00460E7A">
      <w:pPr>
        <w:spacing w:after="0"/>
      </w:pPr>
    </w:p>
    <w:sectPr w:rsidR="00980873" w:rsidRPr="00980873" w:rsidSect="009808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0AA9" w:rsidRDefault="00A80AA9" w:rsidP="00980873">
      <w:pPr>
        <w:spacing w:after="0" w:line="240" w:lineRule="auto"/>
      </w:pPr>
      <w:r>
        <w:separator/>
      </w:r>
    </w:p>
  </w:endnote>
  <w:endnote w:type="continuationSeparator" w:id="0">
    <w:p w:rsidR="00A80AA9" w:rsidRDefault="00A80AA9" w:rsidP="00980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0AA9" w:rsidRDefault="00A80AA9" w:rsidP="00980873">
      <w:pPr>
        <w:spacing w:after="0" w:line="240" w:lineRule="auto"/>
      </w:pPr>
      <w:r>
        <w:separator/>
      </w:r>
    </w:p>
  </w:footnote>
  <w:footnote w:type="continuationSeparator" w:id="0">
    <w:p w:rsidR="00A80AA9" w:rsidRDefault="00A80AA9" w:rsidP="00980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0831334"/>
      <w:docPartObj>
        <w:docPartGallery w:val="Page Numbers (Top of Page)"/>
        <w:docPartUnique/>
      </w:docPartObj>
    </w:sdtPr>
    <w:sdtEndPr>
      <w:rPr>
        <w:noProof/>
      </w:rPr>
    </w:sdtEndPr>
    <w:sdtContent>
      <w:p w:rsidR="00980873" w:rsidRDefault="00980873">
        <w:pPr>
          <w:pStyle w:val="Header"/>
          <w:jc w:val="right"/>
        </w:pPr>
        <w:r>
          <w:t>FEMALE OR MALE BREADWINNER FAMILIES</w:t>
        </w:r>
        <w:r>
          <w:tab/>
        </w:r>
        <w:r>
          <w:fldChar w:fldCharType="begin"/>
        </w:r>
        <w:r>
          <w:instrText xml:space="preserve"> PAGE   \* MERGEFORMAT </w:instrText>
        </w:r>
        <w:r>
          <w:fldChar w:fldCharType="separate"/>
        </w:r>
        <w:r w:rsidR="002352E8">
          <w:rPr>
            <w:noProof/>
          </w:rPr>
          <w:t>5</w:t>
        </w:r>
        <w:r>
          <w:rPr>
            <w:noProof/>
          </w:rPr>
          <w:fldChar w:fldCharType="end"/>
        </w:r>
      </w:p>
    </w:sdtContent>
  </w:sdt>
  <w:p w:rsidR="00980873" w:rsidRDefault="009808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0873" w:rsidRDefault="00980873">
    <w:pPr>
      <w:pStyle w:val="Header"/>
    </w:pPr>
    <w:r>
      <w:t xml:space="preserve">Running </w:t>
    </w:r>
    <w:r w:rsidR="006E2800">
      <w:t>h</w:t>
    </w:r>
    <w:r>
      <w:t>ead: FEMALE OR MALE BREADWINNER FAMILIES</w:t>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40A32"/>
    <w:multiLevelType w:val="hybridMultilevel"/>
    <w:tmpl w:val="57664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710972"/>
    <w:multiLevelType w:val="hybridMultilevel"/>
    <w:tmpl w:val="2BAEF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92F"/>
    <w:rsid w:val="00001AC1"/>
    <w:rsid w:val="000171E5"/>
    <w:rsid w:val="000762C0"/>
    <w:rsid w:val="000B66DE"/>
    <w:rsid w:val="001E1CCB"/>
    <w:rsid w:val="002352E8"/>
    <w:rsid w:val="002E7ADC"/>
    <w:rsid w:val="00356896"/>
    <w:rsid w:val="00361C94"/>
    <w:rsid w:val="00374169"/>
    <w:rsid w:val="003B3891"/>
    <w:rsid w:val="003E35E7"/>
    <w:rsid w:val="00455562"/>
    <w:rsid w:val="00460B0C"/>
    <w:rsid w:val="00460E7A"/>
    <w:rsid w:val="005457FB"/>
    <w:rsid w:val="005708A4"/>
    <w:rsid w:val="00580FE2"/>
    <w:rsid w:val="00591F81"/>
    <w:rsid w:val="005C33B9"/>
    <w:rsid w:val="006178BF"/>
    <w:rsid w:val="006775C9"/>
    <w:rsid w:val="006A492F"/>
    <w:rsid w:val="006B4188"/>
    <w:rsid w:val="006B548A"/>
    <w:rsid w:val="006E2800"/>
    <w:rsid w:val="006E34DB"/>
    <w:rsid w:val="006F06C5"/>
    <w:rsid w:val="00741E08"/>
    <w:rsid w:val="00783D14"/>
    <w:rsid w:val="007D16D1"/>
    <w:rsid w:val="007D6052"/>
    <w:rsid w:val="00892734"/>
    <w:rsid w:val="008F0203"/>
    <w:rsid w:val="009363EB"/>
    <w:rsid w:val="00980873"/>
    <w:rsid w:val="009830CD"/>
    <w:rsid w:val="00994CCF"/>
    <w:rsid w:val="00A6644B"/>
    <w:rsid w:val="00A72326"/>
    <w:rsid w:val="00A80AA9"/>
    <w:rsid w:val="00AC6DDE"/>
    <w:rsid w:val="00BB08C3"/>
    <w:rsid w:val="00CF3F5B"/>
    <w:rsid w:val="00D8492D"/>
    <w:rsid w:val="00DA29CA"/>
    <w:rsid w:val="00E120FC"/>
    <w:rsid w:val="00E839B1"/>
    <w:rsid w:val="00EE240E"/>
    <w:rsid w:val="00EF307E"/>
    <w:rsid w:val="00F1796D"/>
    <w:rsid w:val="00FD0562"/>
    <w:rsid w:val="00FD5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C7444"/>
  <w15:docId w15:val="{AB4F17D3-FA80-4217-A651-DD8CF304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92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562"/>
    <w:pPr>
      <w:ind w:left="720"/>
      <w:contextualSpacing/>
    </w:pPr>
  </w:style>
  <w:style w:type="paragraph" w:styleId="Header">
    <w:name w:val="header"/>
    <w:basedOn w:val="Normal"/>
    <w:link w:val="HeaderChar"/>
    <w:uiPriority w:val="99"/>
    <w:unhideWhenUsed/>
    <w:rsid w:val="00980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873"/>
    <w:rPr>
      <w:rFonts w:ascii="Times New Roman" w:hAnsi="Times New Roman"/>
      <w:sz w:val="24"/>
    </w:rPr>
  </w:style>
  <w:style w:type="paragraph" w:styleId="Footer">
    <w:name w:val="footer"/>
    <w:basedOn w:val="Normal"/>
    <w:link w:val="FooterChar"/>
    <w:uiPriority w:val="99"/>
    <w:unhideWhenUsed/>
    <w:rsid w:val="00980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87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907869">
      <w:bodyDiv w:val="1"/>
      <w:marLeft w:val="0"/>
      <w:marRight w:val="0"/>
      <w:marTop w:val="0"/>
      <w:marBottom w:val="0"/>
      <w:divBdr>
        <w:top w:val="none" w:sz="0" w:space="0" w:color="auto"/>
        <w:left w:val="none" w:sz="0" w:space="0" w:color="auto"/>
        <w:bottom w:val="none" w:sz="0" w:space="0" w:color="auto"/>
        <w:right w:val="none" w:sz="0" w:space="0" w:color="auto"/>
      </w:divBdr>
      <w:divsChild>
        <w:div w:id="766585803">
          <w:marLeft w:val="0"/>
          <w:marRight w:val="0"/>
          <w:marTop w:val="0"/>
          <w:marBottom w:val="0"/>
          <w:divBdr>
            <w:top w:val="none" w:sz="0" w:space="0" w:color="auto"/>
            <w:left w:val="none" w:sz="0" w:space="0" w:color="auto"/>
            <w:bottom w:val="none" w:sz="0" w:space="0" w:color="auto"/>
            <w:right w:val="none" w:sz="0" w:space="0" w:color="auto"/>
          </w:divBdr>
        </w:div>
      </w:divsChild>
    </w:div>
    <w:div w:id="740566983">
      <w:bodyDiv w:val="1"/>
      <w:marLeft w:val="0"/>
      <w:marRight w:val="0"/>
      <w:marTop w:val="0"/>
      <w:marBottom w:val="0"/>
      <w:divBdr>
        <w:top w:val="none" w:sz="0" w:space="0" w:color="auto"/>
        <w:left w:val="none" w:sz="0" w:space="0" w:color="auto"/>
        <w:bottom w:val="none" w:sz="0" w:space="0" w:color="auto"/>
        <w:right w:val="none" w:sz="0" w:space="0" w:color="auto"/>
      </w:divBdr>
      <w:divsChild>
        <w:div w:id="10037465">
          <w:marLeft w:val="0"/>
          <w:marRight w:val="0"/>
          <w:marTop w:val="0"/>
          <w:marBottom w:val="0"/>
          <w:divBdr>
            <w:top w:val="none" w:sz="0" w:space="0" w:color="auto"/>
            <w:left w:val="none" w:sz="0" w:space="0" w:color="auto"/>
            <w:bottom w:val="none" w:sz="0" w:space="0" w:color="auto"/>
            <w:right w:val="none" w:sz="0" w:space="0" w:color="auto"/>
          </w:divBdr>
        </w:div>
      </w:divsChild>
    </w:div>
    <w:div w:id="1142389182">
      <w:bodyDiv w:val="1"/>
      <w:marLeft w:val="0"/>
      <w:marRight w:val="0"/>
      <w:marTop w:val="0"/>
      <w:marBottom w:val="0"/>
      <w:divBdr>
        <w:top w:val="none" w:sz="0" w:space="0" w:color="auto"/>
        <w:left w:val="none" w:sz="0" w:space="0" w:color="auto"/>
        <w:bottom w:val="none" w:sz="0" w:space="0" w:color="auto"/>
        <w:right w:val="none" w:sz="0" w:space="0" w:color="auto"/>
      </w:divBdr>
      <w:divsChild>
        <w:div w:id="965962945">
          <w:marLeft w:val="0"/>
          <w:marRight w:val="0"/>
          <w:marTop w:val="0"/>
          <w:marBottom w:val="0"/>
          <w:divBdr>
            <w:top w:val="none" w:sz="0" w:space="0" w:color="auto"/>
            <w:left w:val="none" w:sz="0" w:space="0" w:color="auto"/>
            <w:bottom w:val="none" w:sz="0" w:space="0" w:color="auto"/>
            <w:right w:val="none" w:sz="0" w:space="0" w:color="auto"/>
          </w:divBdr>
        </w:div>
      </w:divsChild>
    </w:div>
    <w:div w:id="1489663247">
      <w:bodyDiv w:val="1"/>
      <w:marLeft w:val="0"/>
      <w:marRight w:val="0"/>
      <w:marTop w:val="0"/>
      <w:marBottom w:val="0"/>
      <w:divBdr>
        <w:top w:val="none" w:sz="0" w:space="0" w:color="auto"/>
        <w:left w:val="none" w:sz="0" w:space="0" w:color="auto"/>
        <w:bottom w:val="none" w:sz="0" w:space="0" w:color="auto"/>
        <w:right w:val="none" w:sz="0" w:space="0" w:color="auto"/>
      </w:divBdr>
      <w:divsChild>
        <w:div w:id="1203254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Joseph Ngururi</cp:lastModifiedBy>
  <cp:revision>3</cp:revision>
  <dcterms:created xsi:type="dcterms:W3CDTF">2019-04-26T19:24:00Z</dcterms:created>
  <dcterms:modified xsi:type="dcterms:W3CDTF">2019-04-26T19:24:00Z</dcterms:modified>
</cp:coreProperties>
</file>